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17585FBB" w:rsidR="006D205D" w:rsidRPr="00DE4C07" w:rsidRDefault="00903385" w:rsidP="00053D87">
      <w:pPr>
        <w:pStyle w:val="Title"/>
        <w:rPr>
          <w:rFonts w:cs="Arial"/>
          <w:sz w:val="54"/>
          <w:szCs w:val="54"/>
        </w:rPr>
      </w:pPr>
      <w:r w:rsidRPr="00DE4C07">
        <w:rPr>
          <w:rFonts w:cs="Arial"/>
          <w:noProof/>
          <w:sz w:val="54"/>
          <w:szCs w:val="54"/>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DE4C07" w:rsidRPr="00DE4C07">
        <w:rPr>
          <w:rFonts w:cs="Arial"/>
          <w:noProof/>
          <w:sz w:val="54"/>
          <w:szCs w:val="54"/>
        </w:rPr>
        <w:t>Introduction to</w:t>
      </w:r>
      <w:r w:rsidR="0086608F" w:rsidRPr="00DE4C07">
        <w:rPr>
          <w:rFonts w:cs="Arial"/>
          <w:noProof/>
          <w:sz w:val="54"/>
          <w:szCs w:val="54"/>
        </w:rPr>
        <w:t xml:space="preserve"> Cooperative Learning</w:t>
      </w:r>
    </w:p>
    <w:p w14:paraId="4F06E530" w14:textId="77777777" w:rsidR="00E2756D" w:rsidRPr="00670242" w:rsidRDefault="006D7D86" w:rsidP="00E2756D">
      <w:pPr>
        <w:pStyle w:val="Heading1"/>
        <w:rPr>
          <w:rFonts w:cs="Arial"/>
        </w:rPr>
      </w:pPr>
      <w:r>
        <w:rPr>
          <w:rFonts w:cs="Arial"/>
        </w:rPr>
        <w:t>Cooperative Learning</w:t>
      </w:r>
      <w:r w:rsidR="00E2756D" w:rsidRPr="00670242">
        <w:rPr>
          <w:rFonts w:cs="Arial"/>
        </w:rPr>
        <w:t xml:space="preserve"> </w:t>
      </w:r>
    </w:p>
    <w:p w14:paraId="6DAB5AF6" w14:textId="0E47B74D" w:rsidR="00DE4C07" w:rsidRPr="00DE4C07" w:rsidRDefault="00DE4C07" w:rsidP="00DE4C07">
      <w:pPr>
        <w:rPr>
          <w:sz w:val="22"/>
        </w:rPr>
      </w:pPr>
      <w:r w:rsidRPr="00DE4C07">
        <w:rPr>
          <w:sz w:val="22"/>
        </w:rPr>
        <w:t xml:space="preserve">Cooperative Learning (CL) is a teaching strategy that helps </w:t>
      </w:r>
      <w:r>
        <w:rPr>
          <w:sz w:val="22"/>
        </w:rPr>
        <w:t>learner</w:t>
      </w:r>
      <w:r w:rsidRPr="00DE4C07">
        <w:rPr>
          <w:sz w:val="22"/>
        </w:rPr>
        <w:t xml:space="preserve">s work together to achieve a common goal. Research demonstrates that CL improves students’ achievement as well as their engagement with life-long learning. </w:t>
      </w:r>
      <w:bookmarkStart w:id="0" w:name="_GoBack"/>
      <w:bookmarkEnd w:id="0"/>
    </w:p>
    <w:p w14:paraId="61CD84C7" w14:textId="77777777" w:rsidR="00DE4C07" w:rsidRPr="00DE4C07" w:rsidRDefault="00DE4C07" w:rsidP="00DE4C07">
      <w:pPr>
        <w:rPr>
          <w:sz w:val="22"/>
        </w:rPr>
      </w:pPr>
    </w:p>
    <w:p w14:paraId="538E601F" w14:textId="76CA56DF" w:rsidR="00DE4C07" w:rsidRPr="00DE4C07" w:rsidRDefault="00DE4C07" w:rsidP="00DE4C07">
      <w:pPr>
        <w:rPr>
          <w:sz w:val="22"/>
        </w:rPr>
      </w:pPr>
      <w:r w:rsidRPr="00DE4C07">
        <w:rPr>
          <w:sz w:val="22"/>
        </w:rPr>
        <w:t xml:space="preserve">In many classrooms, students work together in pairs or groups, but that doesn’t mean they are benefitting from CL. During traditional group work, some </w:t>
      </w:r>
      <w:r>
        <w:rPr>
          <w:sz w:val="22"/>
        </w:rPr>
        <w:t>learner</w:t>
      </w:r>
      <w:r w:rsidRPr="00DE4C07">
        <w:rPr>
          <w:sz w:val="22"/>
        </w:rPr>
        <w:t xml:space="preserve">s may contribute more than others because they are more enthusiastic, capable, or interested. Shyer or less energetic students may not contribute much at all. When using CL strategies, the work is structured so that every </w:t>
      </w:r>
      <w:r>
        <w:rPr>
          <w:sz w:val="22"/>
        </w:rPr>
        <w:t>learner</w:t>
      </w:r>
      <w:r w:rsidRPr="00DE4C07">
        <w:rPr>
          <w:sz w:val="22"/>
        </w:rPr>
        <w:t>, regardless of temperament or ability, must participate and reap the benefits. Therefore, for CL to succeed, several factors must be present:</w:t>
      </w:r>
    </w:p>
    <w:p w14:paraId="180A6626" w14:textId="410AF424" w:rsidR="00DE4C07" w:rsidRPr="00DE4C07" w:rsidRDefault="00DE4C07" w:rsidP="00DE4C07">
      <w:pPr>
        <w:pStyle w:val="ListParagraph"/>
        <w:numPr>
          <w:ilvl w:val="0"/>
          <w:numId w:val="34"/>
        </w:numPr>
        <w:rPr>
          <w:sz w:val="22"/>
        </w:rPr>
      </w:pPr>
      <w:r>
        <w:rPr>
          <w:sz w:val="22"/>
        </w:rPr>
        <w:t>Learner</w:t>
      </w:r>
      <w:r w:rsidRPr="00DE4C07">
        <w:rPr>
          <w:sz w:val="22"/>
        </w:rPr>
        <w:t xml:space="preserve">s share </w:t>
      </w:r>
      <w:r w:rsidRPr="00DE4C07">
        <w:rPr>
          <w:b/>
          <w:sz w:val="22"/>
        </w:rPr>
        <w:t>positive interdependence</w:t>
      </w:r>
      <w:r w:rsidRPr="00DE4C07">
        <w:rPr>
          <w:sz w:val="22"/>
        </w:rPr>
        <w:t xml:space="preserve">, meaning they depend on one another for the overall success of their work. They share a goal that can only be achieved if everyone participates. In other words, each </w:t>
      </w:r>
      <w:r>
        <w:rPr>
          <w:sz w:val="22"/>
        </w:rPr>
        <w:t>learner</w:t>
      </w:r>
      <w:r w:rsidRPr="00DE4C07">
        <w:rPr>
          <w:sz w:val="22"/>
        </w:rPr>
        <w:t xml:space="preserve">’s success is dependent on the other </w:t>
      </w:r>
      <w:r>
        <w:rPr>
          <w:sz w:val="22"/>
        </w:rPr>
        <w:t>learner</w:t>
      </w:r>
      <w:r w:rsidRPr="00DE4C07">
        <w:rPr>
          <w:sz w:val="22"/>
        </w:rPr>
        <w:t>’s success too. It’s “united we stand, divided we fall.”</w:t>
      </w:r>
    </w:p>
    <w:p w14:paraId="61FD6DF5" w14:textId="77777777" w:rsidR="00DE4C07" w:rsidRPr="00DE4C07" w:rsidRDefault="00DE4C07" w:rsidP="00DE4C07">
      <w:pPr>
        <w:pStyle w:val="ListParagraph"/>
        <w:numPr>
          <w:ilvl w:val="0"/>
          <w:numId w:val="34"/>
        </w:numPr>
        <w:rPr>
          <w:sz w:val="22"/>
        </w:rPr>
      </w:pPr>
      <w:r w:rsidRPr="00DE4C07">
        <w:rPr>
          <w:sz w:val="22"/>
        </w:rPr>
        <w:t xml:space="preserve">Everyone must contribute equally, meaning there is </w:t>
      </w:r>
      <w:r w:rsidRPr="00DE4C07">
        <w:rPr>
          <w:b/>
          <w:sz w:val="22"/>
        </w:rPr>
        <w:t>individual responsibility</w:t>
      </w:r>
      <w:r w:rsidRPr="00DE4C07">
        <w:rPr>
          <w:sz w:val="22"/>
        </w:rPr>
        <w:t xml:space="preserve">. </w:t>
      </w:r>
    </w:p>
    <w:p w14:paraId="52704C02" w14:textId="77777777" w:rsidR="00DE4C07" w:rsidRPr="00DE4C07" w:rsidRDefault="00DE4C07" w:rsidP="00DE4C07">
      <w:pPr>
        <w:pStyle w:val="ListParagraph"/>
        <w:numPr>
          <w:ilvl w:val="0"/>
          <w:numId w:val="34"/>
        </w:numPr>
        <w:rPr>
          <w:sz w:val="22"/>
        </w:rPr>
      </w:pPr>
      <w:r w:rsidRPr="00DE4C07">
        <w:rPr>
          <w:sz w:val="22"/>
        </w:rPr>
        <w:t xml:space="preserve">At the end of the work, groups reflect on what went well and what could improve in terms of listening to others, sharing ideas, and working well together. </w:t>
      </w:r>
    </w:p>
    <w:p w14:paraId="3920DA2B" w14:textId="77777777" w:rsidR="00DE4C07" w:rsidRPr="00DE4C07" w:rsidRDefault="00DE4C07" w:rsidP="00DE4C07">
      <w:pPr>
        <w:rPr>
          <w:sz w:val="22"/>
        </w:rPr>
      </w:pPr>
    </w:p>
    <w:p w14:paraId="3C5E7D9C" w14:textId="5A859A3F" w:rsidR="00DE4C07" w:rsidRPr="00DE4C07" w:rsidRDefault="00DE4C07" w:rsidP="00DE4C07">
      <w:pPr>
        <w:rPr>
          <w:sz w:val="22"/>
        </w:rPr>
      </w:pPr>
      <w:r w:rsidRPr="00DE4C07">
        <w:rPr>
          <w:sz w:val="22"/>
        </w:rPr>
        <w:t xml:space="preserve">Researchers have been interested in the effects of CL for over 50 years. They have found that CL helps students perform better, although how much better is still being debated. Some researchers have found very large improvements and some more modest improvements. But overall, </w:t>
      </w:r>
      <w:r>
        <w:rPr>
          <w:sz w:val="22"/>
        </w:rPr>
        <w:t>learner</w:t>
      </w:r>
      <w:r w:rsidRPr="00DE4C07">
        <w:rPr>
          <w:sz w:val="22"/>
        </w:rPr>
        <w:t xml:space="preserve">s who participate in CL activities demonstrate higher levels of achievement. (For more information, see </w:t>
      </w:r>
      <w:proofErr w:type="spellStart"/>
      <w:r w:rsidRPr="00DE4C07">
        <w:rPr>
          <w:sz w:val="22"/>
        </w:rPr>
        <w:t>Abrami</w:t>
      </w:r>
      <w:proofErr w:type="spellEnd"/>
      <w:r w:rsidRPr="00DE4C07">
        <w:rPr>
          <w:sz w:val="22"/>
        </w:rPr>
        <w:t xml:space="preserve">, P.C. (1995). </w:t>
      </w:r>
      <w:r w:rsidRPr="00DE4C07">
        <w:rPr>
          <w:i/>
          <w:sz w:val="22"/>
        </w:rPr>
        <w:t>Classroom connections: Understanding and using cooperative learning</w:t>
      </w:r>
      <w:r w:rsidRPr="00DE4C07">
        <w:rPr>
          <w:sz w:val="22"/>
        </w:rPr>
        <w:t>. Harcourt College Pub.)</w:t>
      </w:r>
    </w:p>
    <w:p w14:paraId="1005A949" w14:textId="25E5AA7D" w:rsidR="00DE4C07" w:rsidRPr="00DE4C07" w:rsidRDefault="00DE4C07" w:rsidP="00DE4C07">
      <w:pPr>
        <w:rPr>
          <w:sz w:val="22"/>
        </w:rPr>
      </w:pPr>
    </w:p>
    <w:p w14:paraId="4CE47F4F" w14:textId="704FB3A6" w:rsidR="00DE4C07" w:rsidRPr="00DE4C07" w:rsidRDefault="00DE4C07" w:rsidP="00DE4C07">
      <w:pPr>
        <w:rPr>
          <w:sz w:val="22"/>
        </w:rPr>
      </w:pPr>
      <w:r w:rsidRPr="00DE4C07">
        <w:rPr>
          <w:sz w:val="22"/>
        </w:rPr>
        <w:t xml:space="preserve">However, CL also has an effect on other kinds of skills. When working in CL groups, </w:t>
      </w:r>
      <w:r>
        <w:rPr>
          <w:sz w:val="22"/>
        </w:rPr>
        <w:t>learner</w:t>
      </w:r>
      <w:r w:rsidRPr="00DE4C07">
        <w:rPr>
          <w:sz w:val="22"/>
        </w:rPr>
        <w:t>s:</w:t>
      </w:r>
    </w:p>
    <w:p w14:paraId="74F4E4C5" w14:textId="77777777" w:rsidR="00DE4C07" w:rsidRPr="00DE4C07" w:rsidRDefault="00DE4C07" w:rsidP="00DE4C07">
      <w:pPr>
        <w:pStyle w:val="ListParagraph"/>
        <w:numPr>
          <w:ilvl w:val="0"/>
          <w:numId w:val="35"/>
        </w:numPr>
        <w:rPr>
          <w:sz w:val="22"/>
        </w:rPr>
      </w:pPr>
      <w:r w:rsidRPr="00DE4C07">
        <w:rPr>
          <w:sz w:val="22"/>
        </w:rPr>
        <w:t>Like the subject matter.</w:t>
      </w:r>
    </w:p>
    <w:p w14:paraId="71F9490F" w14:textId="77777777" w:rsidR="00DE4C07" w:rsidRPr="00DE4C07" w:rsidRDefault="00DE4C07" w:rsidP="00DE4C07">
      <w:pPr>
        <w:pStyle w:val="ListParagraph"/>
        <w:numPr>
          <w:ilvl w:val="0"/>
          <w:numId w:val="35"/>
        </w:numPr>
        <w:rPr>
          <w:sz w:val="22"/>
        </w:rPr>
      </w:pPr>
      <w:r w:rsidRPr="00DE4C07">
        <w:rPr>
          <w:sz w:val="22"/>
        </w:rPr>
        <w:t>Get along better with classmates and teachers.</w:t>
      </w:r>
    </w:p>
    <w:p w14:paraId="0374A915" w14:textId="77777777" w:rsidR="00DE4C07" w:rsidRPr="00DE4C07" w:rsidRDefault="00DE4C07" w:rsidP="00DE4C07">
      <w:pPr>
        <w:pStyle w:val="ListParagraph"/>
        <w:numPr>
          <w:ilvl w:val="0"/>
          <w:numId w:val="35"/>
        </w:numPr>
        <w:rPr>
          <w:sz w:val="22"/>
        </w:rPr>
      </w:pPr>
      <w:r w:rsidRPr="00DE4C07">
        <w:rPr>
          <w:sz w:val="22"/>
        </w:rPr>
        <w:t>Feel they have support from classmates and teachers.</w:t>
      </w:r>
    </w:p>
    <w:p w14:paraId="2D873C02" w14:textId="77777777" w:rsidR="00DE4C07" w:rsidRPr="00DE4C07" w:rsidRDefault="00DE4C07" w:rsidP="00DE4C07">
      <w:pPr>
        <w:pStyle w:val="ListParagraph"/>
        <w:numPr>
          <w:ilvl w:val="0"/>
          <w:numId w:val="35"/>
        </w:numPr>
        <w:rPr>
          <w:sz w:val="22"/>
        </w:rPr>
      </w:pPr>
      <w:r w:rsidRPr="00DE4C07">
        <w:rPr>
          <w:sz w:val="22"/>
        </w:rPr>
        <w:t>Feel good about themselves as learners.</w:t>
      </w:r>
    </w:p>
    <w:p w14:paraId="3815E71A" w14:textId="77777777" w:rsidR="00DE4C07" w:rsidRPr="00DE4C07" w:rsidRDefault="00DE4C07" w:rsidP="00DE4C07">
      <w:pPr>
        <w:rPr>
          <w:sz w:val="22"/>
        </w:rPr>
      </w:pPr>
    </w:p>
    <w:p w14:paraId="3B4FAA23" w14:textId="77777777" w:rsidR="00DE4C07" w:rsidRPr="00DE4C07" w:rsidRDefault="00DE4C07" w:rsidP="00DE4C07">
      <w:pPr>
        <w:rPr>
          <w:sz w:val="22"/>
        </w:rPr>
      </w:pPr>
      <w:r w:rsidRPr="00DE4C07">
        <w:rPr>
          <w:sz w:val="22"/>
        </w:rPr>
        <w:t>In short, CL strategies have a positive impact on the development of social skills and working cooperatively in a team, as well as the enjoyment of learning.</w:t>
      </w:r>
    </w:p>
    <w:p w14:paraId="55035168" w14:textId="77777777" w:rsidR="00DE4C07" w:rsidRPr="00DE4C07" w:rsidRDefault="00DE4C07" w:rsidP="00DE4C07">
      <w:pPr>
        <w:rPr>
          <w:sz w:val="22"/>
        </w:rPr>
      </w:pPr>
    </w:p>
    <w:p w14:paraId="7B56F6B1" w14:textId="01AA6235" w:rsidR="00DE4C07" w:rsidRPr="00DE4C07" w:rsidRDefault="00DE4C07" w:rsidP="00DE4C07">
      <w:pPr>
        <w:rPr>
          <w:sz w:val="22"/>
        </w:rPr>
      </w:pPr>
      <w:r w:rsidRPr="00DE4C07">
        <w:rPr>
          <w:sz w:val="22"/>
        </w:rPr>
        <w:t xml:space="preserve">CL strategies can help teachers meet the objectives of the Kenya Primary Education plan, especially by helping structure group work to ensure the contributions of all </w:t>
      </w:r>
      <w:r>
        <w:rPr>
          <w:sz w:val="22"/>
        </w:rPr>
        <w:t>learner</w:t>
      </w:r>
      <w:r w:rsidRPr="00DE4C07">
        <w:rPr>
          <w:sz w:val="22"/>
        </w:rPr>
        <w:t xml:space="preserve">s, while also developing communication skills such as listening and verbally conveying ideas and information. CL also fosters critical thinking skills and contributes to a life-long love of learning. </w:t>
      </w:r>
    </w:p>
    <w:p w14:paraId="5242E46D" w14:textId="77777777" w:rsidR="00DE4C07" w:rsidRPr="00DE4C07" w:rsidRDefault="00DE4C07" w:rsidP="00DE4C07">
      <w:pPr>
        <w:rPr>
          <w:sz w:val="22"/>
        </w:rPr>
      </w:pPr>
    </w:p>
    <w:p w14:paraId="6B421AD0" w14:textId="6FAA3893" w:rsidR="00DE4C07" w:rsidRPr="00DE4C07" w:rsidRDefault="00DE4C07" w:rsidP="00DE4C07">
      <w:pPr>
        <w:rPr>
          <w:sz w:val="22"/>
        </w:rPr>
      </w:pPr>
      <w:r w:rsidRPr="00DE4C07">
        <w:rPr>
          <w:sz w:val="22"/>
        </w:rPr>
        <w:t xml:space="preserve">CL doesn’t have to be time-consuming or difficult.  Teachers can try out very simple techniques like “pair and share,” in which </w:t>
      </w:r>
      <w:r>
        <w:rPr>
          <w:sz w:val="22"/>
        </w:rPr>
        <w:t>learner</w:t>
      </w:r>
      <w:r w:rsidRPr="00DE4C07">
        <w:rPr>
          <w:sz w:val="22"/>
        </w:rPr>
        <w:t xml:space="preserve">s think about an issue or a question, then turn to a partner to share their reflections. Using CL in literacy activities can be achieved by having one </w:t>
      </w:r>
      <w:r>
        <w:rPr>
          <w:sz w:val="22"/>
        </w:rPr>
        <w:t>learner</w:t>
      </w:r>
      <w:r w:rsidRPr="00DE4C07">
        <w:rPr>
          <w:sz w:val="22"/>
        </w:rPr>
        <w:t xml:space="preserve"> read a sentence aloud, then the other group members “echo back” by saying the same sentence until everyone can read and say the sentence correctly. As teachers gain more </w:t>
      </w:r>
      <w:r w:rsidRPr="00DE4C07">
        <w:rPr>
          <w:sz w:val="22"/>
        </w:rPr>
        <w:lastRenderedPageBreak/>
        <w:t xml:space="preserve">confidence with CL, they can use techniques such as </w:t>
      </w:r>
      <w:proofErr w:type="spellStart"/>
      <w:r w:rsidRPr="00DE4C07">
        <w:rPr>
          <w:sz w:val="22"/>
        </w:rPr>
        <w:t>Sukumawiki</w:t>
      </w:r>
      <w:proofErr w:type="spellEnd"/>
      <w:r w:rsidRPr="00DE4C07">
        <w:rPr>
          <w:sz w:val="22"/>
        </w:rPr>
        <w:t xml:space="preserve">, a reading tournament that helps teams improve their understanding of a text. </w:t>
      </w:r>
    </w:p>
    <w:p w14:paraId="620B8902" w14:textId="77777777" w:rsidR="00DE4C07" w:rsidRPr="00DE4C07" w:rsidRDefault="00DE4C07" w:rsidP="00DE4C07">
      <w:pPr>
        <w:rPr>
          <w:sz w:val="22"/>
        </w:rPr>
      </w:pPr>
    </w:p>
    <w:p w14:paraId="3ADB7221" w14:textId="47E5E613" w:rsidR="00CE147E" w:rsidRPr="00DE4C07" w:rsidRDefault="00DE4C07" w:rsidP="00DE4C07">
      <w:pPr>
        <w:rPr>
          <w:rFonts w:cs="Arial"/>
          <w:b/>
          <w:bCs/>
          <w:sz w:val="21"/>
        </w:rPr>
      </w:pPr>
      <w:r w:rsidRPr="00DE4C07">
        <w:rPr>
          <w:sz w:val="22"/>
        </w:rPr>
        <w:t xml:space="preserve">We encourage teachers to start small and persevere because the results are worth it. CL has many benefits to offer, helping </w:t>
      </w:r>
      <w:r>
        <w:rPr>
          <w:sz w:val="22"/>
        </w:rPr>
        <w:t>learner</w:t>
      </w:r>
      <w:r w:rsidRPr="00DE4C07">
        <w:rPr>
          <w:sz w:val="22"/>
        </w:rPr>
        <w:t>s develop both academic and social skills.</w:t>
      </w:r>
    </w:p>
    <w:sectPr w:rsidR="00CE147E" w:rsidRPr="00DE4C07"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CE53C" w14:textId="77777777" w:rsidR="008E1FF2" w:rsidRDefault="008E1FF2" w:rsidP="006D205D">
      <w:r>
        <w:separator/>
      </w:r>
    </w:p>
  </w:endnote>
  <w:endnote w:type="continuationSeparator" w:id="0">
    <w:p w14:paraId="6B1B1E7F" w14:textId="77777777" w:rsidR="008E1FF2" w:rsidRDefault="008E1FF2"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0A54FAD0" w14:textId="77777777" w:rsidTr="003752F5">
      <w:trPr>
        <w:trHeight w:val="720"/>
      </w:trPr>
      <w:tc>
        <w:tcPr>
          <w:tcW w:w="3136" w:type="pct"/>
          <w:gridSpan w:val="2"/>
          <w:vAlign w:val="center"/>
        </w:tcPr>
        <w:p w14:paraId="72E5EE7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76AA9E7B"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DE4C07">
            <w:rPr>
              <w:rFonts w:cs="Arial"/>
              <w:noProof/>
              <w:color w:val="04AED0" w:themeColor="text2"/>
              <w:sz w:val="20"/>
              <w:szCs w:val="20"/>
              <w:lang w:val="en-US"/>
            </w:rPr>
            <w:t>ABRA-KE-TA-CLIntroduction-20210721.docx</w:t>
          </w:r>
          <w:r w:rsidRPr="00211E6D">
            <w:rPr>
              <w:rFonts w:cs="Arial"/>
              <w:color w:val="04AED0" w:themeColor="text2"/>
              <w:sz w:val="20"/>
              <w:szCs w:val="20"/>
              <w:lang w:val="en-US"/>
            </w:rPr>
            <w:fldChar w:fldCharType="end"/>
          </w:r>
        </w:p>
      </w:tc>
      <w:tc>
        <w:tcPr>
          <w:tcW w:w="1354" w:type="pct"/>
          <w:vAlign w:val="center"/>
        </w:tcPr>
        <w:p w14:paraId="1D0B35E3" w14:textId="77777777" w:rsidR="00AE3874" w:rsidRDefault="00AE3874" w:rsidP="00AE3874">
          <w:pPr>
            <w:pStyle w:val="Footer"/>
            <w:jc w:val="right"/>
            <w:rPr>
              <w:color w:val="04AED0" w:themeColor="text2"/>
              <w:sz w:val="20"/>
              <w:szCs w:val="20"/>
            </w:rPr>
          </w:pPr>
        </w:p>
      </w:tc>
      <w:tc>
        <w:tcPr>
          <w:tcW w:w="509" w:type="pct"/>
          <w:vAlign w:val="center"/>
        </w:tcPr>
        <w:p w14:paraId="521F002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CB745E0" w14:textId="77777777" w:rsidTr="003752F5">
      <w:tc>
        <w:tcPr>
          <w:tcW w:w="2500" w:type="pct"/>
          <w:vAlign w:val="center"/>
        </w:tcPr>
        <w:p w14:paraId="7926A499" w14:textId="77777777" w:rsidR="00AE3874" w:rsidRPr="00097E4D" w:rsidRDefault="00AE3874" w:rsidP="00AE3874">
          <w:pPr>
            <w:pStyle w:val="Footer"/>
            <w:rPr>
              <w:noProof/>
              <w:color w:val="04AED0" w:themeColor="text2"/>
              <w:sz w:val="18"/>
            </w:rPr>
          </w:pPr>
        </w:p>
      </w:tc>
      <w:tc>
        <w:tcPr>
          <w:tcW w:w="2500" w:type="pct"/>
          <w:gridSpan w:val="3"/>
          <w:vAlign w:val="center"/>
        </w:tcPr>
        <w:p w14:paraId="5A8573C5" w14:textId="77777777" w:rsidR="00AE3874" w:rsidRPr="00097E4D" w:rsidRDefault="00AE3874" w:rsidP="00AE3874">
          <w:pPr>
            <w:pStyle w:val="Footer"/>
            <w:jc w:val="right"/>
            <w:rPr>
              <w:rFonts w:cs="Times New Roman (Body CS)"/>
              <w:noProof/>
              <w:color w:val="04AED0" w:themeColor="text2"/>
              <w:sz w:val="18"/>
              <w:szCs w:val="20"/>
            </w:rPr>
          </w:pPr>
        </w:p>
      </w:tc>
    </w:tr>
  </w:tbl>
  <w:p w14:paraId="2E007F23"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8E9F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5B551A99"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B3901A3" w14:textId="77777777" w:rsidTr="00AC1644">
      <w:trPr>
        <w:trHeight w:val="720"/>
      </w:trPr>
      <w:tc>
        <w:tcPr>
          <w:tcW w:w="2476" w:type="pct"/>
          <w:vAlign w:val="center"/>
        </w:tcPr>
        <w:p w14:paraId="2B881FA4"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AC1644" w:rsidRDefault="00AC1644" w:rsidP="00CB6BB4">
          <w:pPr>
            <w:pStyle w:val="Footer"/>
            <w:jc w:val="center"/>
            <w:rPr>
              <w:noProof/>
              <w:color w:val="04AED0" w:themeColor="text2"/>
              <w:sz w:val="20"/>
              <w:szCs w:val="20"/>
            </w:rPr>
          </w:pPr>
        </w:p>
      </w:tc>
      <w:tc>
        <w:tcPr>
          <w:tcW w:w="840" w:type="pct"/>
          <w:vAlign w:val="center"/>
        </w:tcPr>
        <w:p w14:paraId="2334CA13" w14:textId="77777777" w:rsidR="00AC1644" w:rsidRDefault="00AC1644" w:rsidP="00AE3874">
          <w:pPr>
            <w:pStyle w:val="Footer"/>
            <w:jc w:val="right"/>
            <w:rPr>
              <w:color w:val="04AED0" w:themeColor="text2"/>
              <w:sz w:val="20"/>
              <w:szCs w:val="20"/>
            </w:rPr>
          </w:pPr>
        </w:p>
      </w:tc>
    </w:tr>
    <w:tr w:rsidR="0050063C" w14:paraId="4E152F9B" w14:textId="77777777" w:rsidTr="00AC1644">
      <w:trPr>
        <w:trHeight w:val="288"/>
      </w:trPr>
      <w:tc>
        <w:tcPr>
          <w:tcW w:w="2476" w:type="pct"/>
          <w:vAlign w:val="bottom"/>
        </w:tcPr>
        <w:p w14:paraId="15008FAD"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3FB9D9FF"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DE4C07">
            <w:rPr>
              <w:rFonts w:cs="Arial"/>
              <w:noProof/>
              <w:color w:val="04AED0" w:themeColor="text2"/>
              <w:sz w:val="18"/>
              <w:szCs w:val="20"/>
              <w:lang w:val="en-US"/>
            </w:rPr>
            <w:t>ABRA-KE-TA-CLIntroduction-20210721.docx</w:t>
          </w:r>
          <w:r w:rsidRPr="00211E6D">
            <w:rPr>
              <w:rFonts w:cs="Arial"/>
              <w:color w:val="04AED0" w:themeColor="text2"/>
              <w:sz w:val="18"/>
              <w:szCs w:val="20"/>
              <w:lang w:val="en-US"/>
            </w:rPr>
            <w:fldChar w:fldCharType="end"/>
          </w:r>
        </w:p>
      </w:tc>
    </w:tr>
  </w:tbl>
  <w:p w14:paraId="1DD028B9"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E6CB94"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3299A4D5"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DF7F3" w14:textId="77777777" w:rsidR="008E1FF2" w:rsidRDefault="008E1FF2" w:rsidP="006D205D">
      <w:r>
        <w:separator/>
      </w:r>
    </w:p>
  </w:footnote>
  <w:footnote w:type="continuationSeparator" w:id="0">
    <w:p w14:paraId="5A3D9D78" w14:textId="77777777" w:rsidR="008E1FF2" w:rsidRDefault="008E1FF2"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6079839"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14CE8"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FE6901"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1845917"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AE3874" w:rsidRDefault="00AE3874" w:rsidP="00AE3874">
    <w:pPr>
      <w:pStyle w:val="Header"/>
    </w:pPr>
  </w:p>
  <w:p w14:paraId="2D94A7FE"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B3B3D"/>
    <w:multiLevelType w:val="hybridMultilevel"/>
    <w:tmpl w:val="8CD0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29394E"/>
    <w:multiLevelType w:val="hybridMultilevel"/>
    <w:tmpl w:val="6FA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F18DB"/>
    <w:multiLevelType w:val="hybridMultilevel"/>
    <w:tmpl w:val="80E07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016100"/>
    <w:multiLevelType w:val="hybridMultilevel"/>
    <w:tmpl w:val="029E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7A5462"/>
    <w:multiLevelType w:val="hybridMultilevel"/>
    <w:tmpl w:val="50C4E7F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E625C"/>
    <w:multiLevelType w:val="hybridMultilevel"/>
    <w:tmpl w:val="416E9E1E"/>
    <w:lvl w:ilvl="0" w:tplc="04090011">
      <w:start w:val="1"/>
      <w:numFmt w:val="decimal"/>
      <w:lvlText w:val="%1)"/>
      <w:lvlJc w:val="left"/>
      <w:pPr>
        <w:ind w:left="720" w:hanging="360"/>
      </w:pPr>
      <w:rPr>
        <w:rFonts w:hint="default"/>
      </w:rPr>
    </w:lvl>
    <w:lvl w:ilvl="1" w:tplc="40F20132">
      <w:start w:val="1"/>
      <w:numFmt w:val="decimal"/>
      <w:lvlText w:val="%2."/>
      <w:lvlJc w:val="left"/>
      <w:pPr>
        <w:tabs>
          <w:tab w:val="num" w:pos="1440"/>
        </w:tabs>
        <w:ind w:left="1440" w:hanging="360"/>
      </w:pPr>
    </w:lvl>
    <w:lvl w:ilvl="2" w:tplc="2CBEFDB2" w:tentative="1">
      <w:start w:val="1"/>
      <w:numFmt w:val="bullet"/>
      <w:lvlText w:val="•"/>
      <w:lvlJc w:val="left"/>
      <w:pPr>
        <w:tabs>
          <w:tab w:val="num" w:pos="2160"/>
        </w:tabs>
        <w:ind w:left="2160" w:hanging="360"/>
      </w:pPr>
      <w:rPr>
        <w:rFonts w:ascii="Arial" w:hAnsi="Arial" w:hint="default"/>
      </w:rPr>
    </w:lvl>
    <w:lvl w:ilvl="3" w:tplc="2646CA94" w:tentative="1">
      <w:start w:val="1"/>
      <w:numFmt w:val="bullet"/>
      <w:lvlText w:val="•"/>
      <w:lvlJc w:val="left"/>
      <w:pPr>
        <w:tabs>
          <w:tab w:val="num" w:pos="2880"/>
        </w:tabs>
        <w:ind w:left="2880" w:hanging="360"/>
      </w:pPr>
      <w:rPr>
        <w:rFonts w:ascii="Arial" w:hAnsi="Arial" w:hint="default"/>
      </w:rPr>
    </w:lvl>
    <w:lvl w:ilvl="4" w:tplc="1C5067C2" w:tentative="1">
      <w:start w:val="1"/>
      <w:numFmt w:val="bullet"/>
      <w:lvlText w:val="•"/>
      <w:lvlJc w:val="left"/>
      <w:pPr>
        <w:tabs>
          <w:tab w:val="num" w:pos="3600"/>
        </w:tabs>
        <w:ind w:left="3600" w:hanging="360"/>
      </w:pPr>
      <w:rPr>
        <w:rFonts w:ascii="Arial" w:hAnsi="Arial" w:hint="default"/>
      </w:rPr>
    </w:lvl>
    <w:lvl w:ilvl="5" w:tplc="D2BE7154" w:tentative="1">
      <w:start w:val="1"/>
      <w:numFmt w:val="bullet"/>
      <w:lvlText w:val="•"/>
      <w:lvlJc w:val="left"/>
      <w:pPr>
        <w:tabs>
          <w:tab w:val="num" w:pos="4320"/>
        </w:tabs>
        <w:ind w:left="4320" w:hanging="360"/>
      </w:pPr>
      <w:rPr>
        <w:rFonts w:ascii="Arial" w:hAnsi="Arial" w:hint="default"/>
      </w:rPr>
    </w:lvl>
    <w:lvl w:ilvl="6" w:tplc="161C6D08" w:tentative="1">
      <w:start w:val="1"/>
      <w:numFmt w:val="bullet"/>
      <w:lvlText w:val="•"/>
      <w:lvlJc w:val="left"/>
      <w:pPr>
        <w:tabs>
          <w:tab w:val="num" w:pos="5040"/>
        </w:tabs>
        <w:ind w:left="5040" w:hanging="360"/>
      </w:pPr>
      <w:rPr>
        <w:rFonts w:ascii="Arial" w:hAnsi="Arial" w:hint="default"/>
      </w:rPr>
    </w:lvl>
    <w:lvl w:ilvl="7" w:tplc="380480B0" w:tentative="1">
      <w:start w:val="1"/>
      <w:numFmt w:val="bullet"/>
      <w:lvlText w:val="•"/>
      <w:lvlJc w:val="left"/>
      <w:pPr>
        <w:tabs>
          <w:tab w:val="num" w:pos="5760"/>
        </w:tabs>
        <w:ind w:left="5760" w:hanging="360"/>
      </w:pPr>
      <w:rPr>
        <w:rFonts w:ascii="Arial" w:hAnsi="Arial" w:hint="default"/>
      </w:rPr>
    </w:lvl>
    <w:lvl w:ilvl="8" w:tplc="7056257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411A"/>
    <w:multiLevelType w:val="hybridMultilevel"/>
    <w:tmpl w:val="02E424D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53EB1"/>
    <w:multiLevelType w:val="hybridMultilevel"/>
    <w:tmpl w:val="8A708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D23B03"/>
    <w:multiLevelType w:val="hybridMultilevel"/>
    <w:tmpl w:val="3D52DB2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2CBEFDB2" w:tentative="1">
      <w:start w:val="1"/>
      <w:numFmt w:val="bullet"/>
      <w:lvlText w:val="•"/>
      <w:lvlJc w:val="left"/>
      <w:pPr>
        <w:tabs>
          <w:tab w:val="num" w:pos="2160"/>
        </w:tabs>
        <w:ind w:left="2160" w:hanging="360"/>
      </w:pPr>
      <w:rPr>
        <w:rFonts w:ascii="Arial" w:hAnsi="Arial" w:hint="default"/>
      </w:rPr>
    </w:lvl>
    <w:lvl w:ilvl="3" w:tplc="2646CA94" w:tentative="1">
      <w:start w:val="1"/>
      <w:numFmt w:val="bullet"/>
      <w:lvlText w:val="•"/>
      <w:lvlJc w:val="left"/>
      <w:pPr>
        <w:tabs>
          <w:tab w:val="num" w:pos="2880"/>
        </w:tabs>
        <w:ind w:left="2880" w:hanging="360"/>
      </w:pPr>
      <w:rPr>
        <w:rFonts w:ascii="Arial" w:hAnsi="Arial" w:hint="default"/>
      </w:rPr>
    </w:lvl>
    <w:lvl w:ilvl="4" w:tplc="1C5067C2" w:tentative="1">
      <w:start w:val="1"/>
      <w:numFmt w:val="bullet"/>
      <w:lvlText w:val="•"/>
      <w:lvlJc w:val="left"/>
      <w:pPr>
        <w:tabs>
          <w:tab w:val="num" w:pos="3600"/>
        </w:tabs>
        <w:ind w:left="3600" w:hanging="360"/>
      </w:pPr>
      <w:rPr>
        <w:rFonts w:ascii="Arial" w:hAnsi="Arial" w:hint="default"/>
      </w:rPr>
    </w:lvl>
    <w:lvl w:ilvl="5" w:tplc="D2BE7154" w:tentative="1">
      <w:start w:val="1"/>
      <w:numFmt w:val="bullet"/>
      <w:lvlText w:val="•"/>
      <w:lvlJc w:val="left"/>
      <w:pPr>
        <w:tabs>
          <w:tab w:val="num" w:pos="4320"/>
        </w:tabs>
        <w:ind w:left="4320" w:hanging="360"/>
      </w:pPr>
      <w:rPr>
        <w:rFonts w:ascii="Arial" w:hAnsi="Arial" w:hint="default"/>
      </w:rPr>
    </w:lvl>
    <w:lvl w:ilvl="6" w:tplc="161C6D08" w:tentative="1">
      <w:start w:val="1"/>
      <w:numFmt w:val="bullet"/>
      <w:lvlText w:val="•"/>
      <w:lvlJc w:val="left"/>
      <w:pPr>
        <w:tabs>
          <w:tab w:val="num" w:pos="5040"/>
        </w:tabs>
        <w:ind w:left="5040" w:hanging="360"/>
      </w:pPr>
      <w:rPr>
        <w:rFonts w:ascii="Arial" w:hAnsi="Arial" w:hint="default"/>
      </w:rPr>
    </w:lvl>
    <w:lvl w:ilvl="7" w:tplc="380480B0" w:tentative="1">
      <w:start w:val="1"/>
      <w:numFmt w:val="bullet"/>
      <w:lvlText w:val="•"/>
      <w:lvlJc w:val="left"/>
      <w:pPr>
        <w:tabs>
          <w:tab w:val="num" w:pos="5760"/>
        </w:tabs>
        <w:ind w:left="5760" w:hanging="360"/>
      </w:pPr>
      <w:rPr>
        <w:rFonts w:ascii="Arial" w:hAnsi="Arial" w:hint="default"/>
      </w:rPr>
    </w:lvl>
    <w:lvl w:ilvl="8" w:tplc="7056257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1"/>
  </w:num>
  <w:num w:numId="3">
    <w:abstractNumId w:val="1"/>
  </w:num>
  <w:num w:numId="4">
    <w:abstractNumId w:val="30"/>
  </w:num>
  <w:num w:numId="5">
    <w:abstractNumId w:val="0"/>
  </w:num>
  <w:num w:numId="6">
    <w:abstractNumId w:val="8"/>
  </w:num>
  <w:num w:numId="7">
    <w:abstractNumId w:val="26"/>
  </w:num>
  <w:num w:numId="8">
    <w:abstractNumId w:val="32"/>
  </w:num>
  <w:num w:numId="9">
    <w:abstractNumId w:val="14"/>
  </w:num>
  <w:num w:numId="10">
    <w:abstractNumId w:val="17"/>
  </w:num>
  <w:num w:numId="11">
    <w:abstractNumId w:val="18"/>
  </w:num>
  <w:num w:numId="12">
    <w:abstractNumId w:val="34"/>
  </w:num>
  <w:num w:numId="13">
    <w:abstractNumId w:val="27"/>
  </w:num>
  <w:num w:numId="14">
    <w:abstractNumId w:val="11"/>
  </w:num>
  <w:num w:numId="15">
    <w:abstractNumId w:val="25"/>
  </w:num>
  <w:num w:numId="16">
    <w:abstractNumId w:val="12"/>
  </w:num>
  <w:num w:numId="17">
    <w:abstractNumId w:val="33"/>
  </w:num>
  <w:num w:numId="18">
    <w:abstractNumId w:val="4"/>
  </w:num>
  <w:num w:numId="19">
    <w:abstractNumId w:val="21"/>
  </w:num>
  <w:num w:numId="20">
    <w:abstractNumId w:val="16"/>
  </w:num>
  <w:num w:numId="21">
    <w:abstractNumId w:val="13"/>
  </w:num>
  <w:num w:numId="22">
    <w:abstractNumId w:val="28"/>
  </w:num>
  <w:num w:numId="23">
    <w:abstractNumId w:val="6"/>
  </w:num>
  <w:num w:numId="24">
    <w:abstractNumId w:val="29"/>
  </w:num>
  <w:num w:numId="25">
    <w:abstractNumId w:val="3"/>
  </w:num>
  <w:num w:numId="26">
    <w:abstractNumId w:val="9"/>
  </w:num>
  <w:num w:numId="27">
    <w:abstractNumId w:val="22"/>
  </w:num>
  <w:num w:numId="28">
    <w:abstractNumId w:val="19"/>
  </w:num>
  <w:num w:numId="29">
    <w:abstractNumId w:val="7"/>
  </w:num>
  <w:num w:numId="30">
    <w:abstractNumId w:val="23"/>
  </w:num>
  <w:num w:numId="31">
    <w:abstractNumId w:val="2"/>
  </w:num>
  <w:num w:numId="32">
    <w:abstractNumId w:val="20"/>
  </w:num>
  <w:num w:numId="33">
    <w:abstractNumId w:val="24"/>
  </w:num>
  <w:num w:numId="34">
    <w:abstractNumId w:val="15"/>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2794"/>
    <w:rsid w:val="000A42D7"/>
    <w:rsid w:val="000B09FC"/>
    <w:rsid w:val="000B352E"/>
    <w:rsid w:val="000B4B89"/>
    <w:rsid w:val="000D5D5A"/>
    <w:rsid w:val="000E307E"/>
    <w:rsid w:val="000E3538"/>
    <w:rsid w:val="000E6E43"/>
    <w:rsid w:val="000F1185"/>
    <w:rsid w:val="000F2774"/>
    <w:rsid w:val="000F41F3"/>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1086"/>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A22D8"/>
    <w:rsid w:val="003C34D6"/>
    <w:rsid w:val="003C3739"/>
    <w:rsid w:val="003D6331"/>
    <w:rsid w:val="003D751A"/>
    <w:rsid w:val="003E00C4"/>
    <w:rsid w:val="003E273D"/>
    <w:rsid w:val="0040070E"/>
    <w:rsid w:val="004113D1"/>
    <w:rsid w:val="0041287A"/>
    <w:rsid w:val="0041743C"/>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D7D86"/>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08F"/>
    <w:rsid w:val="00866D48"/>
    <w:rsid w:val="00872FE4"/>
    <w:rsid w:val="00874182"/>
    <w:rsid w:val="0087624E"/>
    <w:rsid w:val="008809BB"/>
    <w:rsid w:val="00881A12"/>
    <w:rsid w:val="00890AE6"/>
    <w:rsid w:val="008A503F"/>
    <w:rsid w:val="008B58CF"/>
    <w:rsid w:val="008C118D"/>
    <w:rsid w:val="008D35B9"/>
    <w:rsid w:val="008D6466"/>
    <w:rsid w:val="008E1FF2"/>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3A76"/>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E147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4C07"/>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C97DA-74C4-5D4D-A525-7C902750A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3</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2021-07-21T20:43:00Z</dcterms:created>
  <dcterms:modified xsi:type="dcterms:W3CDTF">2021-07-21T20:46:00Z</dcterms:modified>
</cp:coreProperties>
</file>